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
        <w:rPr>
          <w:b w:val="true"/>
          <w:bCs w:val="true"/>
        </w:rPr>
        <w:t xml:space="preserve">laiton OT67</w:t>
      </w:r>
      <w:r>
        <w:br/>
        <w:t xml:space="preserve">BV 75  
Portes et fenêtres à ouverture intérieure et extérieure | ouverture oscillo-battante |  en laiton OT67. 
Fourniture et installation de menuiseries en partie fixes et en partie ouvrantes pour portes et fenêtres à ouverture extérieure ou intérieure, montées avec des profilés de rupture thermique Secco Sistemi  BV 75 . Les profilés sont réalisés en assemblant, sans solution de continuité, deux coques métalliques (une intérieure et une extérieure), avec de la polyamide extrudée chargée de fibre de verre et solidaire aux pièces grâce à une résine de polyuréthane haute densité. Les coques métalliques sont obtenues par profilage à froid de bandes de Alliage de cuivre OT67 (Cu67/Zn33) épaisseur 15/10,norme EN1652:1999 , prévoyant de maintenir les plis ouverts afin de pouvoir insérer les équerres d'alignement en acier inoxydable également en cas de soudure superficielle en continu. L'assemblage des châssis est réalisé par soudage des surfaces intérieures non visibles avec l'insertion d'équerres de renforcement intérieures en acier inoxydable, et un éventuel brasage en continu des parties en contact visibles.  Le système prévoit des profilés en saillie à l'intérieur et à l'extérieur et les sections minimales apparentes suivantes : joint latéral fixe 27 mm, joint latéral ouvrant de 47 mm, joint central pour les deux ouvertures de 62 mm, profondeur indérogeable de 77 mm. Dans la composition, les fenêtres et les portes ont 
(sélectionner l'une des options suivantes)
|  tous les joints, aussi bien pour les fixes que pour les vantaux sont de 62 mm et tous identiques, ce qui rend les parties fixes indiscernables des parties ouvrantes en permettant la coplanarité de tous les verres.  |
|  les joints non identiques entre les parties fixes et les parties ouvrantes, en minimisant au maximum leurs dimensions, offrent la possibilité d'avoir ou non des verres coplanaires entre eux.  |
La partie extérieure du profil de l'ouvrant est biseautée en angle comme la parclose, ce qui donne de la profondeur à la façade extérieure de la fenêtre et place la vitre dans l'axe de la section de l'ouverture. Système d'étanchéité à l'eau, à l'air et au vent  pour les fenêtres à ouverture intérieure avec triple joint à enfiler (deux niveaux d'étanchéité, dont un à joint ouvert), pour les fenêtres à ouverture extérieure et pour  les portes avec double joint à enfiler (niveau d'étanchéité à joint fermé). Seuil mobile au sol pour les portes. Un nombre suffisant d'évacuations d'eau en acier à visser sont prévues dans les fenêtres Acier inoxydable bruni à chaud.  Les fenêtres et les portes sont équipées de vitres,
(insérer le type de vitre)  
fixées au moyen de parcloses  
(sélectionner l'une des options suivantes) 
| Biseauté | Parclose carré droit| Carré Arrondi | Triangulaire | Thin|
en laiton OT67, à distance des surfaces extérieures par le biais de joints EPDM ou en silicone, et des surfaces intérieures par le biais de joints EPDM insérés par pression. Les fenêtres, si l'ouverture oscillo-battante n'est pas prévue, et les portes sont équipées de paumelles à visser en acier  acier inoxydable bruni à chaud , réglables et disponibles à deux ailes (Ø12 mm pour des capacités de moins de 50 kg par ouvrant) ou à trois ailes (Ø15 mm pour des capacités de moins de 100 kg par ouvrant).   
(sélectionnez l'option suivante si prévue) 
| Ouverture avec vantail/oscillo-battante des fenêtres avec paumelles non apparentes (capacité de charge de 130 kg) et 
ferrures périmétrales avec un nombre adéquat de points de verrouillage en fonction des dimensions du vantail.  Système de verrouillage à tiges intérieures avec une extrémité inférieure et supérieure et un nombre adéquat de points de verrouillage supplémentaires en fonction de la taille des vantaux.  Les portes sont équipées de serrures avec différents points de verrouillage en fonction de la hauteur des ouvrants et des caches de serrures/ profilés renforcés en acier inoxydable bruni à chaud. Finition brunie des surfaces par un processus de nettoyage mécanique avec un abrasif, immersion dans un liquide de brunissage, lavage et protection avec une huile de vaseline ou une cire au choix. Les poignées complètent le système et sont disponibles en différentes formes, matériaux et finitions, notamment,  le laiton OT67.</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sz w:val="32"/>
      <w:szCs w:val="32"/>
      <w:color w:val="2E74B5"/>
    </w:rPr>
    <w:basedOn w:val="Normal"/>
    <w:next w:val="Normal"/>
    <w:qFormat/>
  </w:style>
  <w:style w:type="paragraph" w:styleId="Heading2">
    <w:name w:val="Heading 2"/>
    <w:rPr>
      <w:sz w:val="26"/>
      <w:szCs w:val="26"/>
      <w:color w:val="2E74B5"/>
    </w:rPr>
    <w:basedOn w:val="Normal"/>
    <w:next w:val="Normal"/>
    <w:qFormat/>
  </w:style>
  <w:style w:type="paragraph" w:styleId="Heading3">
    <w:name w:val="Heading 3"/>
    <w:rPr>
      <w:sz w:val="24"/>
      <w:szCs w:val="24"/>
      <w:color w:val="1F4D78"/>
    </w:rPr>
    <w:basedOn w:val="Normal"/>
    <w:next w:val="Normal"/>
    <w:qFormat/>
  </w:style>
  <w:style w:type="paragraph" w:styleId="Heading4">
    <w:name w:val="Heading 4"/>
    <w:rPr>
      <w:i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s>
</file>

<file path=word/_rels/footer1.xml.rels><Relationships xmlns="http://schemas.openxmlformats.org/package/2006/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2023-09-07T12:05:07Z</dcterms:created>
  <dcterms:modified xsi:type="dcterms:W3CDTF">2023-09-07T12:05:07Z</dcterms:modified>
</cp:coreProperties>
</file>